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b/>
          <w:color w:val="000000"/>
          <w:sz w:val="32"/>
          <w:szCs w:val="32"/>
        </w:rPr>
      </w:pPr>
      <w:bookmarkStart w:id="0" w:name="_GoBack"/>
      <w:bookmarkEnd w:id="0"/>
      <w:r>
        <w:rPr>
          <w:rFonts w:hint="eastAsia"/>
          <w:b/>
          <w:color w:val="000000"/>
          <w:sz w:val="32"/>
          <w:szCs w:val="32"/>
        </w:rPr>
        <w:t>《化学工程》专业硕士研究生复试录取工作细则</w:t>
      </w:r>
    </w:p>
    <w:p>
      <w:pPr>
        <w:spacing w:line="520" w:lineRule="exact"/>
        <w:jc w:val="center"/>
        <w:rPr>
          <w:b/>
          <w:color w:val="000000"/>
          <w:sz w:val="28"/>
          <w:szCs w:val="28"/>
        </w:rPr>
      </w:pPr>
      <w:r>
        <w:rPr>
          <w:rFonts w:hint="eastAsia"/>
          <w:b/>
          <w:color w:val="000000"/>
          <w:sz w:val="24"/>
        </w:rPr>
        <w:t>（专业学位）</w:t>
      </w:r>
    </w:p>
    <w:p>
      <w:pPr>
        <w:spacing w:line="360" w:lineRule="exact"/>
        <w:jc w:val="center"/>
        <w:rPr>
          <w:color w:val="000000"/>
          <w:kern w:val="0"/>
          <w:sz w:val="24"/>
          <w:szCs w:val="22"/>
        </w:rPr>
      </w:pPr>
    </w:p>
    <w:p>
      <w:pPr>
        <w:spacing w:line="440" w:lineRule="exact"/>
        <w:ind w:firstLine="480" w:firstLineChars="200"/>
        <w:jc w:val="left"/>
        <w:rPr>
          <w:rFonts w:eastAsia="黑体"/>
          <w:b/>
          <w:color w:val="000000"/>
          <w:sz w:val="32"/>
          <w:szCs w:val="32"/>
        </w:rPr>
      </w:pPr>
      <w:r>
        <w:rPr>
          <w:color w:val="000000"/>
          <w:kern w:val="0"/>
          <w:sz w:val="24"/>
        </w:rPr>
        <w:t>本工作细则依据《桂林理工大学2024年硕士研究生复试录取工作办法》制定，适用于桂林理工大学化学与生物工程学院2024年材料与化工专业的化学工程方向专业学位硕士研究生复试录取工作。</w:t>
      </w:r>
    </w:p>
    <w:p>
      <w:pPr>
        <w:numPr>
          <w:ilvl w:val="0"/>
          <w:numId w:val="1"/>
        </w:numPr>
        <w:spacing w:before="156" w:beforeLines="50" w:after="156" w:afterLines="50" w:line="340" w:lineRule="exact"/>
        <w:ind w:firstLine="482" w:firstLineChars="200"/>
        <w:rPr>
          <w:rFonts w:eastAsia="黑体"/>
          <w:b/>
          <w:color w:val="000000"/>
          <w:sz w:val="24"/>
        </w:rPr>
      </w:pPr>
      <w:r>
        <w:rPr>
          <w:rFonts w:eastAsia="黑体"/>
          <w:b/>
          <w:color w:val="000000"/>
          <w:sz w:val="24"/>
        </w:rPr>
        <w:t>复试小组成员</w:t>
      </w:r>
    </w:p>
    <w:p>
      <w:pPr>
        <w:spacing w:before="156" w:beforeLines="50" w:after="156" w:afterLines="50" w:line="340" w:lineRule="exact"/>
        <w:ind w:firstLine="960" w:firstLineChars="400"/>
        <w:rPr>
          <w:rFonts w:eastAsia="黑体"/>
          <w:color w:val="000000"/>
          <w:kern w:val="0"/>
          <w:sz w:val="24"/>
        </w:rPr>
      </w:pPr>
      <w:r>
        <w:rPr>
          <w:color w:val="000000"/>
          <w:kern w:val="0"/>
          <w:sz w:val="24"/>
        </w:rPr>
        <w:t>复试小组由本学科相应硕士生导师组成，成员不少于5名，设组长1人。</w:t>
      </w:r>
    </w:p>
    <w:p>
      <w:pPr>
        <w:numPr>
          <w:ilvl w:val="0"/>
          <w:numId w:val="1"/>
        </w:numPr>
        <w:spacing w:before="156" w:beforeLines="50" w:after="156" w:afterLines="50" w:line="340" w:lineRule="exact"/>
        <w:ind w:firstLine="482" w:firstLineChars="200"/>
        <w:rPr>
          <w:rFonts w:eastAsia="黑体"/>
          <w:b/>
          <w:color w:val="000000"/>
          <w:sz w:val="24"/>
        </w:rPr>
      </w:pPr>
      <w:r>
        <w:rPr>
          <w:rFonts w:eastAsia="黑体"/>
          <w:b/>
          <w:color w:val="000000"/>
          <w:sz w:val="24"/>
        </w:rPr>
        <w:t>复试考生遴选标准</w:t>
      </w:r>
    </w:p>
    <w:p>
      <w:pPr>
        <w:pStyle w:val="11"/>
        <w:spacing w:line="312" w:lineRule="auto"/>
        <w:ind w:left="420" w:leftChars="200" w:firstLine="545" w:firstLineChars="226"/>
        <w:jc w:val="left"/>
        <w:rPr>
          <w:color w:val="000000"/>
          <w:kern w:val="0"/>
          <w:sz w:val="24"/>
        </w:rPr>
      </w:pPr>
      <w:r>
        <w:rPr>
          <w:rFonts w:hint="eastAsia"/>
          <w:b/>
          <w:bCs/>
          <w:color w:val="000000"/>
          <w:kern w:val="0"/>
          <w:sz w:val="24"/>
        </w:rPr>
        <w:t xml:space="preserve">1. </w:t>
      </w:r>
      <w:r>
        <w:rPr>
          <w:b/>
          <w:bCs/>
          <w:color w:val="000000"/>
          <w:kern w:val="0"/>
          <w:sz w:val="24"/>
        </w:rPr>
        <w:t>第一志愿考生</w:t>
      </w:r>
      <w:r>
        <w:rPr>
          <w:color w:val="000000"/>
          <w:kern w:val="0"/>
          <w:sz w:val="24"/>
        </w:rPr>
        <w:t>初试成绩须符</w:t>
      </w:r>
      <w:r>
        <w:rPr>
          <w:color w:val="000000"/>
          <w:kern w:val="0"/>
          <w:sz w:val="24"/>
          <w:szCs w:val="28"/>
        </w:rPr>
        <w:t>合《2024年全国硕士研究生招生考试考生进入复试的初试成绩基本要求</w:t>
      </w:r>
      <w:r>
        <w:rPr>
          <w:color w:val="000000"/>
          <w:kern w:val="0"/>
          <w:sz w:val="24"/>
        </w:rPr>
        <w:t>（</w:t>
      </w:r>
      <w:r>
        <w:rPr>
          <w:color w:val="000000"/>
          <w:kern w:val="0"/>
          <w:sz w:val="24"/>
          <w:szCs w:val="28"/>
        </w:rPr>
        <w:t>B</w:t>
      </w:r>
      <w:r>
        <w:rPr>
          <w:rFonts w:eastAsia="仿宋_GB2312"/>
          <w:color w:val="000000"/>
          <w:kern w:val="0"/>
          <w:sz w:val="24"/>
          <w:szCs w:val="28"/>
        </w:rPr>
        <w:t>类考生）</w:t>
      </w:r>
      <w:r>
        <w:rPr>
          <w:color w:val="000000"/>
          <w:kern w:val="0"/>
          <w:sz w:val="24"/>
          <w:szCs w:val="28"/>
        </w:rPr>
        <w:t>》，才可参加复试。</w:t>
      </w:r>
    </w:p>
    <w:p>
      <w:pPr>
        <w:spacing w:line="312" w:lineRule="auto"/>
        <w:ind w:left="999"/>
        <w:jc w:val="left"/>
        <w:rPr>
          <w:b/>
          <w:bCs/>
          <w:color w:val="000000"/>
          <w:sz w:val="24"/>
        </w:rPr>
      </w:pPr>
      <w:r>
        <w:rPr>
          <w:rFonts w:hint="eastAsia"/>
          <w:b/>
          <w:bCs/>
          <w:color w:val="000000"/>
          <w:sz w:val="24"/>
        </w:rPr>
        <w:t xml:space="preserve">2. </w:t>
      </w:r>
      <w:r>
        <w:rPr>
          <w:b/>
          <w:bCs/>
          <w:color w:val="000000"/>
          <w:sz w:val="24"/>
        </w:rPr>
        <w:t>本专业</w:t>
      </w:r>
      <w:r>
        <w:rPr>
          <w:rFonts w:hint="eastAsia"/>
          <w:b/>
          <w:color w:val="000000"/>
          <w:sz w:val="24"/>
        </w:rPr>
        <w:t>依据考生人数</w:t>
      </w:r>
      <w:r>
        <w:rPr>
          <w:b/>
          <w:bCs/>
          <w:color w:val="000000"/>
          <w:sz w:val="24"/>
        </w:rPr>
        <w:t>采取分组复试，各组复试标准一致。</w:t>
      </w:r>
    </w:p>
    <w:p>
      <w:pPr>
        <w:spacing w:before="156" w:beforeLines="50" w:after="156" w:afterLines="50" w:line="340" w:lineRule="exact"/>
        <w:ind w:firstLine="482" w:firstLineChars="200"/>
        <w:rPr>
          <w:rFonts w:eastAsia="黑体"/>
          <w:b/>
          <w:color w:val="000000"/>
          <w:sz w:val="24"/>
        </w:rPr>
      </w:pPr>
      <w:r>
        <w:rPr>
          <w:rFonts w:eastAsia="黑体"/>
          <w:b/>
          <w:color w:val="000000"/>
          <w:sz w:val="24"/>
        </w:rPr>
        <w:t xml:space="preserve">三、复试基本原则 </w:t>
      </w:r>
    </w:p>
    <w:p>
      <w:pPr>
        <w:spacing w:line="312" w:lineRule="auto"/>
        <w:ind w:left="479" w:leftChars="228" w:firstLine="482" w:firstLineChars="200"/>
        <w:rPr>
          <w:b/>
          <w:bCs/>
          <w:color w:val="000000"/>
          <w:kern w:val="0"/>
          <w:sz w:val="24"/>
        </w:rPr>
      </w:pPr>
      <w:r>
        <w:rPr>
          <w:b/>
          <w:bCs/>
          <w:color w:val="000000"/>
          <w:sz w:val="24"/>
        </w:rPr>
        <w:t>1.</w:t>
      </w:r>
      <w:r>
        <w:rPr>
          <w:rFonts w:hint="eastAsia"/>
          <w:b/>
          <w:bCs/>
          <w:color w:val="000000"/>
          <w:sz w:val="24"/>
        </w:rPr>
        <w:t xml:space="preserve"> </w:t>
      </w:r>
      <w:r>
        <w:rPr>
          <w:b/>
          <w:bCs/>
          <w:color w:val="000000"/>
          <w:sz w:val="24"/>
        </w:rPr>
        <w:t>实行差额复试，复试比例不低于 120%，</w:t>
      </w:r>
      <w:r>
        <w:rPr>
          <w:b/>
          <w:bCs/>
          <w:color w:val="000000"/>
          <w:kern w:val="0"/>
          <w:sz w:val="24"/>
        </w:rPr>
        <w:t>原则上不高于300%。合格生源比例不足的，按实际合格生源数组织复试。</w:t>
      </w:r>
    </w:p>
    <w:p>
      <w:pPr>
        <w:spacing w:line="312" w:lineRule="auto"/>
        <w:ind w:firstLine="964" w:firstLineChars="400"/>
        <w:jc w:val="left"/>
        <w:rPr>
          <w:rFonts w:eastAsia="黑体"/>
          <w:b/>
          <w:bCs/>
          <w:color w:val="000000"/>
          <w:sz w:val="24"/>
        </w:rPr>
      </w:pPr>
      <w:r>
        <w:rPr>
          <w:b/>
          <w:bCs/>
          <w:color w:val="000000"/>
          <w:sz w:val="24"/>
        </w:rPr>
        <w:t>2.</w:t>
      </w:r>
      <w:r>
        <w:rPr>
          <w:rFonts w:hint="eastAsia"/>
          <w:b/>
          <w:bCs/>
          <w:color w:val="000000"/>
          <w:sz w:val="24"/>
        </w:rPr>
        <w:t xml:space="preserve"> </w:t>
      </w:r>
      <w:r>
        <w:rPr>
          <w:b/>
          <w:bCs/>
          <w:color w:val="000000"/>
          <w:sz w:val="24"/>
        </w:rPr>
        <w:t>公开、公正、公平。</w:t>
      </w:r>
    </w:p>
    <w:p>
      <w:pPr>
        <w:spacing w:before="156" w:beforeLines="50" w:after="156" w:afterLines="50" w:line="340" w:lineRule="exact"/>
        <w:ind w:firstLine="482" w:firstLineChars="200"/>
        <w:rPr>
          <w:rFonts w:eastAsia="黑体"/>
          <w:b/>
          <w:color w:val="000000"/>
          <w:sz w:val="24"/>
        </w:rPr>
      </w:pPr>
      <w:r>
        <w:rPr>
          <w:rFonts w:eastAsia="黑体"/>
          <w:b/>
          <w:color w:val="000000"/>
          <w:sz w:val="24"/>
        </w:rPr>
        <w:t xml:space="preserve">四、复试时间、地点、内容与形式 </w:t>
      </w:r>
    </w:p>
    <w:p>
      <w:pPr>
        <w:spacing w:before="156" w:beforeLines="50" w:after="156" w:afterLines="50" w:line="340" w:lineRule="exact"/>
        <w:ind w:firstLine="964" w:firstLineChars="400"/>
        <w:rPr>
          <w:b/>
          <w:color w:val="000000"/>
          <w:sz w:val="24"/>
        </w:rPr>
      </w:pPr>
      <w:r>
        <w:rPr>
          <w:b/>
          <w:color w:val="000000"/>
          <w:sz w:val="24"/>
        </w:rPr>
        <w:t>1.</w:t>
      </w:r>
      <w:r>
        <w:rPr>
          <w:rFonts w:hint="eastAsia"/>
          <w:b/>
          <w:color w:val="000000"/>
          <w:sz w:val="24"/>
        </w:rPr>
        <w:t xml:space="preserve"> </w:t>
      </w:r>
      <w:r>
        <w:rPr>
          <w:b/>
          <w:color w:val="000000"/>
          <w:sz w:val="24"/>
        </w:rPr>
        <w:t xml:space="preserve">复试形式为现场复试，复试分为专业复试和英语复试两部分 </w:t>
      </w:r>
    </w:p>
    <w:p>
      <w:pPr>
        <w:spacing w:line="400" w:lineRule="exact"/>
        <w:ind w:left="556" w:leftChars="265" w:firstLine="422" w:firstLineChars="200"/>
        <w:rPr>
          <w:color w:val="000000"/>
          <w:sz w:val="24"/>
        </w:rPr>
      </w:pPr>
      <w:r>
        <w:rPr>
          <w:b/>
          <w:color w:val="000000"/>
        </w:rPr>
        <w:t>时间、地点</w:t>
      </w:r>
      <w:r>
        <w:rPr>
          <w:bCs/>
          <w:color w:val="000000"/>
        </w:rPr>
        <w:t>：</w:t>
      </w:r>
      <w:r>
        <w:rPr>
          <w:color w:val="000000"/>
          <w:sz w:val="24"/>
        </w:rPr>
        <w:t>学院统一安排在桂林理工大学雁山校区进行，面试时间每生一般不少于20分钟。</w:t>
      </w:r>
    </w:p>
    <w:p>
      <w:pPr>
        <w:snapToGrid w:val="0"/>
        <w:spacing w:before="156" w:beforeLines="50" w:line="312" w:lineRule="auto"/>
        <w:ind w:left="741" w:leftChars="353" w:firstLine="241" w:firstLineChars="100"/>
        <w:rPr>
          <w:b/>
          <w:color w:val="000000"/>
          <w:kern w:val="0"/>
          <w:sz w:val="24"/>
        </w:rPr>
      </w:pPr>
      <w:r>
        <w:rPr>
          <w:rFonts w:hint="eastAsia"/>
          <w:b/>
          <w:color w:val="000000"/>
          <w:kern w:val="0"/>
          <w:sz w:val="24"/>
        </w:rPr>
        <w:t xml:space="preserve">2. </w:t>
      </w:r>
      <w:r>
        <w:rPr>
          <w:b/>
          <w:color w:val="000000"/>
          <w:kern w:val="0"/>
          <w:sz w:val="24"/>
        </w:rPr>
        <w:t>复试内容</w:t>
      </w:r>
    </w:p>
    <w:p>
      <w:pPr>
        <w:snapToGrid w:val="0"/>
        <w:spacing w:before="156" w:beforeLines="50" w:line="312" w:lineRule="auto"/>
        <w:ind w:left="424" w:leftChars="202" w:firstLine="480" w:firstLineChars="200"/>
        <w:rPr>
          <w:color w:val="000000"/>
          <w:kern w:val="0"/>
          <w:sz w:val="24"/>
        </w:rPr>
      </w:pPr>
      <w:r>
        <w:rPr>
          <w:color w:val="000000"/>
          <w:kern w:val="0"/>
          <w:sz w:val="24"/>
        </w:rPr>
        <w:t>（1）专业复试：通过复试小组对考生专业技能、研究兴趣、学士学位论文等相关内容进行提问，并结合有关佐证材料，考核考生专业水平与研究能力。在复试中，要重视平时学习成绩与工作业绩；重视创新精神与实践动手能力；重视初试和笔试考不易评判的专长，以确保研究生质量。</w:t>
      </w:r>
    </w:p>
    <w:p>
      <w:pPr>
        <w:spacing w:line="312" w:lineRule="auto"/>
        <w:ind w:left="424" w:leftChars="202" w:firstLine="480" w:firstLineChars="200"/>
        <w:rPr>
          <w:color w:val="000000"/>
          <w:kern w:val="0"/>
          <w:sz w:val="24"/>
        </w:rPr>
      </w:pPr>
      <w:r>
        <w:rPr>
          <w:color w:val="000000"/>
          <w:kern w:val="0"/>
          <w:sz w:val="24"/>
        </w:rPr>
        <w:t>专业基础课部分重点考察化工原理、化工工艺学、化工热力学、分离工程，反应工程及无机化学、有机化学、分析化学、物理化学。参考书是《物理化学》（第六版）上、下，天津大学物理化学教研室编，李松林等修订，高等教育出版社。</w:t>
      </w:r>
    </w:p>
    <w:p>
      <w:pPr>
        <w:snapToGrid w:val="0"/>
        <w:spacing w:before="156" w:beforeLines="50" w:line="312" w:lineRule="auto"/>
        <w:ind w:left="424" w:leftChars="202" w:firstLine="480" w:firstLineChars="200"/>
        <w:rPr>
          <w:color w:val="000000"/>
          <w:kern w:val="0"/>
          <w:sz w:val="24"/>
        </w:rPr>
      </w:pPr>
      <w:r>
        <w:rPr>
          <w:color w:val="000000"/>
          <w:kern w:val="0"/>
          <w:sz w:val="24"/>
        </w:rPr>
        <w:t>（2）英语复试</w:t>
      </w:r>
    </w:p>
    <w:p>
      <w:pPr>
        <w:spacing w:line="312" w:lineRule="auto"/>
        <w:ind w:left="2" w:firstLine="988" w:firstLineChars="412"/>
        <w:rPr>
          <w:color w:val="000000"/>
          <w:kern w:val="0"/>
          <w:sz w:val="24"/>
        </w:rPr>
      </w:pPr>
      <w:r>
        <w:rPr>
          <w:color w:val="000000"/>
          <w:sz w:val="24"/>
        </w:rPr>
        <w:fldChar w:fldCharType="begin"/>
      </w:r>
      <w:r>
        <w:rPr>
          <w:color w:val="000000"/>
          <w:sz w:val="24"/>
        </w:rPr>
        <w:instrText xml:space="preserve"> = 1 \* GB3 </w:instrText>
      </w:r>
      <w:r>
        <w:rPr>
          <w:color w:val="000000"/>
          <w:sz w:val="24"/>
        </w:rPr>
        <w:fldChar w:fldCharType="separate"/>
      </w:r>
      <w:r>
        <w:rPr>
          <w:color w:val="000000"/>
          <w:sz w:val="24"/>
        </w:rPr>
        <w:t>①</w:t>
      </w:r>
      <w:r>
        <w:rPr>
          <w:color w:val="000000"/>
          <w:sz w:val="24"/>
        </w:rPr>
        <w:fldChar w:fldCharType="end"/>
      </w:r>
      <w:r>
        <w:rPr>
          <w:color w:val="000000"/>
          <w:kern w:val="0"/>
          <w:sz w:val="24"/>
        </w:rPr>
        <w:t>个人专业自述（英语介绍）</w:t>
      </w:r>
    </w:p>
    <w:p>
      <w:pPr>
        <w:spacing w:line="312" w:lineRule="auto"/>
        <w:ind w:left="844" w:leftChars="402" w:firstLine="148" w:firstLineChars="62"/>
        <w:rPr>
          <w:color w:val="000000"/>
          <w:kern w:val="0"/>
          <w:sz w:val="24"/>
        </w:rPr>
      </w:pPr>
      <w:r>
        <w:rPr>
          <w:color w:val="000000"/>
          <w:sz w:val="24"/>
        </w:rPr>
        <w:fldChar w:fldCharType="begin"/>
      </w:r>
      <w:r>
        <w:rPr>
          <w:color w:val="000000"/>
          <w:sz w:val="24"/>
        </w:rPr>
        <w:instrText xml:space="preserve"> = 2 \* GB3 </w:instrText>
      </w:r>
      <w:r>
        <w:rPr>
          <w:color w:val="000000"/>
          <w:sz w:val="24"/>
        </w:rPr>
        <w:fldChar w:fldCharType="separate"/>
      </w:r>
      <w:r>
        <w:rPr>
          <w:color w:val="000000"/>
          <w:sz w:val="24"/>
        </w:rPr>
        <w:t>②</w:t>
      </w:r>
      <w:r>
        <w:rPr>
          <w:color w:val="000000"/>
          <w:sz w:val="24"/>
        </w:rPr>
        <w:fldChar w:fldCharType="end"/>
      </w:r>
      <w:r>
        <w:rPr>
          <w:color w:val="000000"/>
          <w:kern w:val="0"/>
          <w:sz w:val="24"/>
        </w:rPr>
        <w:t>英语翻译及回答面试小组的提问（英语）</w:t>
      </w:r>
    </w:p>
    <w:p>
      <w:pPr>
        <w:snapToGrid w:val="0"/>
        <w:spacing w:before="156" w:beforeLines="50" w:line="312" w:lineRule="auto"/>
        <w:ind w:left="741" w:leftChars="353" w:firstLine="241" w:firstLineChars="100"/>
        <w:rPr>
          <w:b/>
          <w:color w:val="000000"/>
          <w:kern w:val="0"/>
          <w:sz w:val="24"/>
        </w:rPr>
      </w:pPr>
      <w:r>
        <w:rPr>
          <w:rFonts w:hint="eastAsia"/>
          <w:b/>
          <w:color w:val="000000"/>
          <w:kern w:val="0"/>
          <w:sz w:val="24"/>
        </w:rPr>
        <w:t xml:space="preserve">3. </w:t>
      </w:r>
      <w:r>
        <w:rPr>
          <w:b/>
          <w:color w:val="000000"/>
          <w:kern w:val="0"/>
          <w:sz w:val="24"/>
        </w:rPr>
        <w:t>加试</w:t>
      </w:r>
      <w:r>
        <w:rPr>
          <w:rFonts w:hint="eastAsia"/>
          <w:b/>
          <w:color w:val="000000"/>
          <w:kern w:val="0"/>
          <w:sz w:val="24"/>
        </w:rPr>
        <w:t xml:space="preserve"> </w:t>
      </w:r>
    </w:p>
    <w:p>
      <w:pPr>
        <w:spacing w:line="300" w:lineRule="auto"/>
        <w:ind w:left="420" w:leftChars="200" w:firstLine="480" w:firstLineChars="200"/>
        <w:rPr>
          <w:color w:val="000000"/>
          <w:sz w:val="24"/>
        </w:rPr>
      </w:pPr>
      <w:r>
        <w:rPr>
          <w:color w:val="000000"/>
          <w:sz w:val="24"/>
        </w:rPr>
        <w:t>同等学力考生</w:t>
      </w:r>
      <w:r>
        <w:rPr>
          <w:rFonts w:ascii="宋体" w:hAnsi="宋体" w:cs="宋体"/>
          <w:sz w:val="24"/>
        </w:rPr>
        <w:t>（本专业仅接收化工类专业同等学力考生）</w:t>
      </w:r>
      <w:r>
        <w:rPr>
          <w:color w:val="000000"/>
          <w:sz w:val="24"/>
        </w:rPr>
        <w:t>、跨专业考生、成人教育应届本科毕业生及复试时尚未取得本科毕业证书的自考和网络教育学生，须加试本专业两门与初试不同的本科主干课程。加试科目参考桂林理工大学研究生院官网“2024年硕士研究生招生专题”中的《2024年硕士研究生招生专业目录》。每门加试课程的满分均为100分，加试成绩可不计入复试成绩，但不合格者（单科成绩低于60分），不予录取。</w:t>
      </w:r>
    </w:p>
    <w:p>
      <w:pPr>
        <w:spacing w:before="156" w:beforeLines="50" w:after="156" w:afterLines="50" w:line="340" w:lineRule="exact"/>
        <w:ind w:firstLine="482" w:firstLineChars="200"/>
        <w:jc w:val="left"/>
        <w:rPr>
          <w:rFonts w:eastAsia="黑体"/>
          <w:b/>
          <w:color w:val="000000"/>
          <w:sz w:val="24"/>
        </w:rPr>
      </w:pPr>
      <w:r>
        <w:rPr>
          <w:rFonts w:eastAsia="黑体"/>
          <w:b/>
          <w:color w:val="000000"/>
          <w:sz w:val="24"/>
        </w:rPr>
        <w:t>五、心理测试</w:t>
      </w:r>
    </w:p>
    <w:p>
      <w:pPr>
        <w:spacing w:line="300" w:lineRule="auto"/>
        <w:ind w:left="315" w:leftChars="150" w:firstLine="480" w:firstLineChars="200"/>
        <w:jc w:val="left"/>
        <w:rPr>
          <w:color w:val="000000"/>
          <w:sz w:val="24"/>
        </w:rPr>
      </w:pPr>
      <w:r>
        <w:rPr>
          <w:color w:val="000000"/>
          <w:sz w:val="24"/>
        </w:rPr>
        <w:t>考生需在面试前按照桂林理工大学研究生院网站上的《桂林理工大学2024年研究生复试心理测评流程》要求完成心理测试。</w:t>
      </w:r>
    </w:p>
    <w:p>
      <w:pPr>
        <w:spacing w:before="156" w:beforeLines="50" w:after="156" w:afterLines="50" w:line="340" w:lineRule="exact"/>
        <w:ind w:firstLine="482" w:firstLineChars="200"/>
        <w:jc w:val="left"/>
        <w:rPr>
          <w:rFonts w:eastAsia="黑体"/>
          <w:b/>
          <w:color w:val="000000"/>
          <w:sz w:val="24"/>
        </w:rPr>
      </w:pPr>
      <w:r>
        <w:rPr>
          <w:rFonts w:eastAsia="黑体"/>
          <w:b/>
          <w:color w:val="000000"/>
          <w:sz w:val="24"/>
        </w:rPr>
        <w:t>六、复试成绩评定标准</w:t>
      </w:r>
    </w:p>
    <w:p>
      <w:pPr>
        <w:spacing w:line="340" w:lineRule="exact"/>
        <w:ind w:left="420" w:leftChars="200" w:firstLine="482" w:firstLineChars="200"/>
        <w:rPr>
          <w:b/>
          <w:bCs/>
          <w:color w:val="000000"/>
          <w:sz w:val="24"/>
        </w:rPr>
      </w:pPr>
      <w:r>
        <w:rPr>
          <w:b/>
          <w:bCs/>
          <w:color w:val="000000"/>
          <w:sz w:val="24"/>
        </w:rPr>
        <w:t xml:space="preserve">复试成绩由英语复试成绩和专业课复试成绩构成，英语复试总分为25分，专业复试总分为75分，满分为100分。复试成绩低于60分者不予录取。 </w:t>
      </w:r>
    </w:p>
    <w:p>
      <w:pPr>
        <w:spacing w:before="156" w:beforeLines="50" w:line="300" w:lineRule="auto"/>
        <w:ind w:firstLine="964" w:firstLineChars="400"/>
        <w:rPr>
          <w:b/>
          <w:bCs/>
          <w:color w:val="000000"/>
          <w:sz w:val="24"/>
        </w:rPr>
      </w:pPr>
      <w:r>
        <w:rPr>
          <w:b/>
          <w:bCs/>
          <w:color w:val="000000"/>
          <w:sz w:val="24"/>
        </w:rPr>
        <w:t>1. 对考生的面试主要从五个方面进行评价打分</w:t>
      </w:r>
    </w:p>
    <w:p>
      <w:pPr>
        <w:spacing w:line="312" w:lineRule="auto"/>
        <w:ind w:left="425" w:firstLine="480" w:firstLineChars="200"/>
        <w:rPr>
          <w:bCs/>
          <w:color w:val="000000"/>
          <w:sz w:val="24"/>
        </w:rPr>
      </w:pPr>
      <w:r>
        <w:rPr>
          <w:bCs/>
          <w:color w:val="000000"/>
          <w:sz w:val="24"/>
        </w:rPr>
        <w:t>（1）专业理论的学习、理解、掌握程度</w:t>
      </w:r>
    </w:p>
    <w:p>
      <w:pPr>
        <w:spacing w:line="312" w:lineRule="auto"/>
        <w:ind w:left="425" w:firstLine="480" w:firstLineChars="200"/>
        <w:rPr>
          <w:bCs/>
          <w:color w:val="000000"/>
          <w:sz w:val="24"/>
        </w:rPr>
      </w:pPr>
      <w:r>
        <w:rPr>
          <w:bCs/>
          <w:color w:val="000000"/>
          <w:sz w:val="24"/>
        </w:rPr>
        <w:t>（2）专业的实践动手能力</w:t>
      </w:r>
    </w:p>
    <w:p>
      <w:pPr>
        <w:spacing w:line="312" w:lineRule="auto"/>
        <w:ind w:left="425" w:firstLine="480" w:firstLineChars="200"/>
        <w:rPr>
          <w:bCs/>
          <w:color w:val="000000"/>
          <w:sz w:val="24"/>
        </w:rPr>
      </w:pPr>
      <w:r>
        <w:rPr>
          <w:bCs/>
          <w:color w:val="000000"/>
          <w:sz w:val="24"/>
        </w:rPr>
        <w:t>（3）专业知识的应用水平</w:t>
      </w:r>
    </w:p>
    <w:p>
      <w:pPr>
        <w:spacing w:line="312" w:lineRule="auto"/>
        <w:ind w:left="425" w:firstLine="480" w:firstLineChars="200"/>
        <w:rPr>
          <w:bCs/>
          <w:color w:val="000000"/>
          <w:sz w:val="24"/>
        </w:rPr>
      </w:pPr>
      <w:r>
        <w:rPr>
          <w:bCs/>
          <w:color w:val="000000"/>
          <w:sz w:val="24"/>
        </w:rPr>
        <w:t>（4）逻辑思维及语言的表达能力</w:t>
      </w:r>
    </w:p>
    <w:p>
      <w:pPr>
        <w:spacing w:line="312" w:lineRule="auto"/>
        <w:ind w:left="425" w:firstLine="480" w:firstLineChars="200"/>
        <w:rPr>
          <w:bCs/>
          <w:color w:val="000000"/>
          <w:sz w:val="24"/>
        </w:rPr>
      </w:pPr>
      <w:r>
        <w:rPr>
          <w:bCs/>
          <w:color w:val="000000"/>
          <w:sz w:val="24"/>
        </w:rPr>
        <w:t>（5）英语听说能力、英语翻译情况</w:t>
      </w:r>
    </w:p>
    <w:p>
      <w:pPr>
        <w:spacing w:before="156" w:beforeLines="50" w:line="300" w:lineRule="auto"/>
        <w:ind w:firstLine="964" w:firstLineChars="400"/>
        <w:rPr>
          <w:b/>
          <w:bCs/>
          <w:color w:val="000000"/>
          <w:sz w:val="24"/>
        </w:rPr>
      </w:pPr>
      <w:r>
        <w:rPr>
          <w:b/>
          <w:bCs/>
          <w:color w:val="000000"/>
          <w:sz w:val="24"/>
        </w:rPr>
        <w:t>2. 专业复试标准（75分）</w:t>
      </w:r>
    </w:p>
    <w:p>
      <w:pPr>
        <w:spacing w:line="300" w:lineRule="auto"/>
        <w:ind w:left="482" w:firstLine="480" w:firstLineChars="200"/>
        <w:rPr>
          <w:color w:val="000000"/>
          <w:sz w:val="24"/>
        </w:rPr>
      </w:pPr>
      <w:r>
        <w:rPr>
          <w:bCs/>
          <w:color w:val="000000"/>
          <w:sz w:val="24"/>
        </w:rPr>
        <w:t>（1）</w:t>
      </w:r>
      <w:r>
        <w:rPr>
          <w:color w:val="000000"/>
          <w:sz w:val="24"/>
        </w:rPr>
        <w:t>所有问题回答基本正确，表达清晰，专业基础扎实，能力突出，对报考专业有较好的了解（66-75分）</w:t>
      </w:r>
    </w:p>
    <w:p>
      <w:pPr>
        <w:pStyle w:val="11"/>
        <w:spacing w:line="300" w:lineRule="auto"/>
        <w:ind w:left="426" w:firstLine="480"/>
        <w:rPr>
          <w:color w:val="000000"/>
          <w:sz w:val="24"/>
        </w:rPr>
      </w:pPr>
      <w:r>
        <w:rPr>
          <w:bCs/>
          <w:color w:val="000000"/>
          <w:sz w:val="24"/>
        </w:rPr>
        <w:t>（2）</w:t>
      </w:r>
      <w:r>
        <w:rPr>
          <w:color w:val="000000"/>
          <w:sz w:val="24"/>
        </w:rPr>
        <w:t>大部分问题回答基本正确，仅个别问题回答不够全面或不够准确，表达清晰，能力一般，专业基础较好，对报考专业有大致的了解（56-65分）</w:t>
      </w:r>
    </w:p>
    <w:p>
      <w:pPr>
        <w:pStyle w:val="11"/>
        <w:spacing w:line="300" w:lineRule="auto"/>
        <w:ind w:left="426" w:firstLine="480"/>
        <w:rPr>
          <w:color w:val="000000"/>
          <w:sz w:val="24"/>
        </w:rPr>
      </w:pPr>
      <w:r>
        <w:rPr>
          <w:bCs/>
          <w:color w:val="000000"/>
          <w:sz w:val="24"/>
        </w:rPr>
        <w:t>（3）</w:t>
      </w:r>
      <w:r>
        <w:rPr>
          <w:color w:val="000000"/>
          <w:sz w:val="24"/>
        </w:rPr>
        <w:t>半数以上问题回答基本正确，个别问题回答出现明显错误或没有作答，表达基本清楚，专业基础较好或一般，对报考专业有一定的了解（46-55分）</w:t>
      </w:r>
    </w:p>
    <w:p>
      <w:pPr>
        <w:pStyle w:val="11"/>
        <w:spacing w:line="300" w:lineRule="auto"/>
        <w:ind w:left="426" w:firstLine="480"/>
        <w:rPr>
          <w:color w:val="000000"/>
          <w:sz w:val="24"/>
        </w:rPr>
      </w:pPr>
      <w:r>
        <w:rPr>
          <w:bCs/>
          <w:color w:val="000000"/>
          <w:sz w:val="24"/>
        </w:rPr>
        <w:t>（4）</w:t>
      </w:r>
      <w:r>
        <w:rPr>
          <w:color w:val="000000"/>
          <w:sz w:val="24"/>
        </w:rPr>
        <w:t>大部分问题回答不准确，或表达不清楚，专业基础差，对所报考专业缺乏了解（45分以下）</w:t>
      </w:r>
    </w:p>
    <w:p>
      <w:pPr>
        <w:pStyle w:val="11"/>
        <w:spacing w:before="156" w:beforeLines="50" w:line="300" w:lineRule="auto"/>
        <w:ind w:left="425" w:firstLine="482"/>
        <w:rPr>
          <w:b/>
          <w:bCs/>
          <w:color w:val="000000"/>
          <w:sz w:val="24"/>
        </w:rPr>
      </w:pPr>
      <w:r>
        <w:rPr>
          <w:b/>
          <w:bCs/>
          <w:color w:val="000000"/>
          <w:sz w:val="24"/>
        </w:rPr>
        <w:t>3. 英语复试标准（25分）</w:t>
      </w:r>
    </w:p>
    <w:p>
      <w:pPr>
        <w:spacing w:line="300" w:lineRule="auto"/>
        <w:ind w:firstLine="900" w:firstLineChars="375"/>
        <w:jc w:val="left"/>
        <w:rPr>
          <w:bCs/>
          <w:color w:val="000000"/>
          <w:sz w:val="24"/>
        </w:rPr>
      </w:pPr>
      <w:r>
        <w:rPr>
          <w:bCs/>
          <w:color w:val="000000"/>
          <w:sz w:val="24"/>
        </w:rPr>
        <w:t>（1）熟练，表达准确（22-25分）</w:t>
      </w:r>
    </w:p>
    <w:p>
      <w:pPr>
        <w:spacing w:line="300" w:lineRule="auto"/>
        <w:ind w:firstLine="900" w:firstLineChars="375"/>
        <w:jc w:val="left"/>
        <w:rPr>
          <w:bCs/>
          <w:color w:val="000000"/>
          <w:sz w:val="24"/>
        </w:rPr>
      </w:pPr>
      <w:r>
        <w:rPr>
          <w:bCs/>
          <w:color w:val="000000"/>
          <w:sz w:val="24"/>
        </w:rPr>
        <w:t>（2）较熟练，基本正确（18-21分）</w:t>
      </w:r>
    </w:p>
    <w:p>
      <w:pPr>
        <w:spacing w:line="300" w:lineRule="auto"/>
        <w:ind w:firstLine="900" w:firstLineChars="375"/>
        <w:jc w:val="left"/>
        <w:rPr>
          <w:color w:val="000000"/>
          <w:sz w:val="24"/>
        </w:rPr>
      </w:pPr>
      <w:r>
        <w:rPr>
          <w:bCs/>
          <w:color w:val="000000"/>
          <w:sz w:val="24"/>
        </w:rPr>
        <w:t>（3）</w:t>
      </w:r>
      <w:r>
        <w:rPr>
          <w:color w:val="000000"/>
          <w:sz w:val="24"/>
        </w:rPr>
        <w:t>基本听明白和表达意愿（15-17分）</w:t>
      </w:r>
    </w:p>
    <w:p>
      <w:pPr>
        <w:spacing w:line="300" w:lineRule="auto"/>
        <w:ind w:firstLine="900" w:firstLineChars="375"/>
        <w:jc w:val="left"/>
        <w:rPr>
          <w:color w:val="000000"/>
          <w:sz w:val="24"/>
        </w:rPr>
      </w:pPr>
      <w:r>
        <w:rPr>
          <w:bCs/>
          <w:color w:val="000000"/>
          <w:sz w:val="24"/>
        </w:rPr>
        <w:t>（4）</w:t>
      </w:r>
      <w:r>
        <w:rPr>
          <w:color w:val="000000"/>
          <w:sz w:val="24"/>
        </w:rPr>
        <w:t>听力与口语表达差（15分以下）</w:t>
      </w:r>
    </w:p>
    <w:p>
      <w:pPr>
        <w:spacing w:before="156" w:beforeLines="50" w:after="156" w:afterLines="50" w:line="340" w:lineRule="exact"/>
        <w:ind w:firstLine="482" w:firstLineChars="200"/>
        <w:rPr>
          <w:rFonts w:eastAsia="黑体"/>
          <w:b/>
          <w:color w:val="000000"/>
          <w:sz w:val="24"/>
        </w:rPr>
      </w:pPr>
      <w:r>
        <w:rPr>
          <w:rFonts w:eastAsia="黑体"/>
          <w:b/>
          <w:color w:val="000000"/>
          <w:sz w:val="24"/>
        </w:rPr>
        <w:t xml:space="preserve">七、录取成绩的计算及录取原则 </w:t>
      </w:r>
    </w:p>
    <w:p>
      <w:pPr>
        <w:spacing w:line="312" w:lineRule="auto"/>
        <w:ind w:left="420" w:firstLine="482" w:firstLineChars="200"/>
        <w:rPr>
          <w:color w:val="000000"/>
          <w:kern w:val="0"/>
          <w:sz w:val="24"/>
        </w:rPr>
      </w:pPr>
      <w:r>
        <w:rPr>
          <w:b/>
          <w:color w:val="000000"/>
          <w:kern w:val="0"/>
          <w:sz w:val="24"/>
        </w:rPr>
        <w:t>1.</w:t>
      </w:r>
      <w:r>
        <w:rPr>
          <w:rFonts w:hint="eastAsia"/>
          <w:b/>
          <w:color w:val="000000"/>
          <w:kern w:val="0"/>
          <w:sz w:val="24"/>
        </w:rPr>
        <w:t xml:space="preserve"> </w:t>
      </w:r>
      <w:r>
        <w:rPr>
          <w:b/>
          <w:color w:val="000000"/>
          <w:kern w:val="0"/>
          <w:sz w:val="24"/>
        </w:rPr>
        <w:t>录取成绩计算</w:t>
      </w:r>
      <w:r>
        <w:rPr>
          <w:color w:val="000000"/>
          <w:kern w:val="0"/>
          <w:sz w:val="24"/>
        </w:rPr>
        <w:t>，录取总分以100分计【初试成绩占60%，专业复试成绩占30%，英语复试成绩占10%】。</w:t>
      </w:r>
    </w:p>
    <w:p>
      <w:pPr>
        <w:spacing w:line="312" w:lineRule="auto"/>
        <w:ind w:left="420" w:firstLine="480" w:firstLineChars="200"/>
        <w:rPr>
          <w:color w:val="000000"/>
          <w:kern w:val="0"/>
          <w:sz w:val="24"/>
        </w:rPr>
      </w:pPr>
      <w:r>
        <w:rPr>
          <w:color w:val="000000"/>
          <w:kern w:val="0"/>
          <w:sz w:val="24"/>
        </w:rPr>
        <w:t>第一志愿考生录取总分计算公式如下：</w:t>
      </w:r>
    </w:p>
    <w:p>
      <w:pPr>
        <w:spacing w:line="312" w:lineRule="auto"/>
        <w:ind w:left="420" w:firstLine="420" w:firstLineChars="200"/>
        <w:rPr>
          <w:color w:val="000000"/>
          <w:kern w:val="0"/>
          <w:sz w:val="24"/>
        </w:rPr>
      </w:pPr>
      <m:oMathPara>
        <m:oMath>
          <m:f>
            <m:fPr>
              <m:ctrlPr>
                <w:rPr>
                  <w:rFonts w:ascii="Cambria Math" w:hAnsi="Cambria Math" w:eastAsia="Cambria Math"/>
                  <w:color w:val="000000"/>
                </w:rPr>
              </m:ctrlPr>
            </m:fPr>
            <m:num>
              <m:r>
                <m:rPr>
                  <m:sty m:val="p"/>
                </m:rPr>
                <w:rPr>
                  <w:rFonts w:ascii="Cambria Math" w:hAnsi="Cambria Math"/>
                  <w:color w:val="000000"/>
                </w:rPr>
                <m:t>初试</m:t>
              </m:r>
              <m:r>
                <m:rPr>
                  <m:sty m:val="p"/>
                </m:rPr>
                <w:rPr>
                  <w:rFonts w:hint="eastAsia" w:ascii="Cambria Math" w:hAnsi="Cambria Math"/>
                  <w:color w:val="000000"/>
                </w:rPr>
                <m:t>总分</m:t>
              </m:r>
              <m:ctrlPr>
                <w:rPr>
                  <w:rFonts w:ascii="Cambria Math" w:hAnsi="Cambria Math" w:eastAsia="Cambria Math"/>
                  <w:color w:val="000000"/>
                </w:rPr>
              </m:ctrlPr>
            </m:num>
            <m:den>
              <m:r>
                <m:rPr>
                  <m:sty m:val="p"/>
                </m:rPr>
                <w:rPr>
                  <w:rFonts w:ascii="Cambria Math" w:hAnsi="Cambria Math"/>
                  <w:color w:val="000000"/>
                </w:rPr>
                <m:t>5</m:t>
              </m:r>
              <m:ctrlPr>
                <w:rPr>
                  <w:rFonts w:ascii="Cambria Math" w:hAnsi="Cambria Math" w:eastAsia="Cambria Math"/>
                  <w:color w:val="000000"/>
                </w:rPr>
              </m:ctrlPr>
            </m:den>
          </m:f>
          <m:r>
            <m:rPr/>
            <w:rPr>
              <w:rFonts w:ascii="Cambria Math" w:hAnsi="Cambria Math" w:eastAsia="Cambria Math"/>
              <w:color w:val="000000"/>
            </w:rPr>
            <m:t xml:space="preserve"> </m:t>
          </m:r>
          <m:r>
            <m:rPr>
              <m:sty m:val="p"/>
            </m:rPr>
            <w:rPr>
              <w:rFonts w:ascii="Cambria Math" w:hAnsi="Cambria Math"/>
              <w:color w:val="000000"/>
            </w:rPr>
            <m:t>×0.6+复试总分×0.4</m:t>
          </m:r>
        </m:oMath>
      </m:oMathPara>
    </w:p>
    <w:p>
      <w:pPr>
        <w:spacing w:line="312" w:lineRule="auto"/>
        <w:ind w:left="426" w:firstLine="470" w:firstLineChars="196"/>
        <w:rPr>
          <w:color w:val="000000"/>
          <w:kern w:val="0"/>
          <w:sz w:val="24"/>
        </w:rPr>
      </w:pPr>
      <w:r>
        <w:rPr>
          <w:rFonts w:hint="eastAsia"/>
          <w:color w:val="000000"/>
          <w:sz w:val="24"/>
        </w:rPr>
        <w:t xml:space="preserve">    </w:t>
      </w:r>
      <w:r>
        <w:rPr>
          <w:b/>
          <w:color w:val="000000"/>
          <w:kern w:val="0"/>
          <w:sz w:val="24"/>
        </w:rPr>
        <w:t>2.</w:t>
      </w:r>
      <w:r>
        <w:rPr>
          <w:rFonts w:hint="eastAsia"/>
          <w:b/>
          <w:color w:val="000000"/>
          <w:kern w:val="0"/>
          <w:sz w:val="24"/>
        </w:rPr>
        <w:t xml:space="preserve"> </w:t>
      </w:r>
      <w:r>
        <w:rPr>
          <w:b/>
          <w:color w:val="000000"/>
          <w:kern w:val="0"/>
          <w:sz w:val="24"/>
        </w:rPr>
        <w:t>录取原则</w:t>
      </w:r>
      <w:r>
        <w:rPr>
          <w:color w:val="000000"/>
          <w:kern w:val="0"/>
          <w:sz w:val="24"/>
        </w:rPr>
        <w:t>：</w:t>
      </w:r>
      <w:r>
        <w:rPr>
          <w:color w:val="000000"/>
          <w:sz w:val="24"/>
        </w:rPr>
        <w:t>复试合格的一志愿考生优先录取。</w:t>
      </w:r>
      <w:r>
        <w:rPr>
          <w:color w:val="000000"/>
          <w:kern w:val="0"/>
          <w:sz w:val="24"/>
        </w:rPr>
        <w:t>录取时采用各小组录取成绩汇总后统一排序的方式，按照总分从高到低的顺序，确定拟录取、候补录取和不予录取名单。当两名及以上考生的录取总分一样时，按照初试时政治、英语和数学初试成绩之和由高到低择优录取。</w:t>
      </w:r>
    </w:p>
    <w:p>
      <w:pPr>
        <w:spacing w:before="156" w:beforeLines="50" w:after="156" w:afterLines="50" w:line="340" w:lineRule="exact"/>
        <w:ind w:firstLine="482" w:firstLineChars="200"/>
        <w:rPr>
          <w:rFonts w:eastAsia="黑体"/>
          <w:b/>
          <w:color w:val="000000"/>
          <w:sz w:val="24"/>
        </w:rPr>
      </w:pPr>
      <w:r>
        <w:rPr>
          <w:rFonts w:eastAsia="黑体"/>
          <w:b/>
          <w:color w:val="000000"/>
          <w:sz w:val="24"/>
        </w:rPr>
        <w:t xml:space="preserve">八、下列考生不予录取 </w:t>
      </w:r>
    </w:p>
    <w:p>
      <w:pPr>
        <w:spacing w:line="312" w:lineRule="auto"/>
        <w:ind w:firstLine="964" w:firstLineChars="400"/>
        <w:rPr>
          <w:b/>
          <w:color w:val="000000"/>
          <w:sz w:val="24"/>
        </w:rPr>
      </w:pPr>
      <w:r>
        <w:rPr>
          <w:b/>
          <w:color w:val="000000"/>
          <w:kern w:val="0"/>
          <w:sz w:val="24"/>
        </w:rPr>
        <w:t>1.</w:t>
      </w:r>
      <w:r>
        <w:rPr>
          <w:rFonts w:hint="eastAsia"/>
          <w:b/>
          <w:color w:val="000000"/>
          <w:kern w:val="0"/>
          <w:sz w:val="24"/>
        </w:rPr>
        <w:t xml:space="preserve"> </w:t>
      </w:r>
      <w:r>
        <w:rPr>
          <w:b/>
          <w:color w:val="000000"/>
          <w:sz w:val="24"/>
        </w:rPr>
        <w:t>加试成绩不及格者</w:t>
      </w:r>
    </w:p>
    <w:p>
      <w:pPr>
        <w:spacing w:line="312" w:lineRule="auto"/>
        <w:ind w:firstLine="964" w:firstLineChars="400"/>
        <w:rPr>
          <w:b/>
          <w:color w:val="000000"/>
          <w:sz w:val="24"/>
        </w:rPr>
      </w:pPr>
      <w:r>
        <w:rPr>
          <w:b/>
          <w:color w:val="000000"/>
          <w:kern w:val="0"/>
          <w:sz w:val="24"/>
        </w:rPr>
        <w:t>2.</w:t>
      </w:r>
      <w:r>
        <w:rPr>
          <w:rFonts w:hint="eastAsia"/>
          <w:b/>
          <w:color w:val="000000"/>
          <w:kern w:val="0"/>
          <w:sz w:val="24"/>
        </w:rPr>
        <w:t xml:space="preserve"> </w:t>
      </w:r>
      <w:r>
        <w:rPr>
          <w:b/>
          <w:color w:val="000000"/>
          <w:sz w:val="24"/>
        </w:rPr>
        <w:t>复试成绩不合格者</w:t>
      </w:r>
    </w:p>
    <w:p>
      <w:pPr>
        <w:spacing w:line="312" w:lineRule="auto"/>
        <w:ind w:firstLine="964" w:firstLineChars="400"/>
        <w:rPr>
          <w:bCs/>
          <w:color w:val="000000"/>
          <w:sz w:val="24"/>
        </w:rPr>
      </w:pPr>
      <w:r>
        <w:rPr>
          <w:b/>
          <w:color w:val="000000"/>
          <w:kern w:val="0"/>
          <w:sz w:val="24"/>
        </w:rPr>
        <w:t>3.</w:t>
      </w:r>
      <w:r>
        <w:rPr>
          <w:rFonts w:hint="eastAsia"/>
          <w:b/>
          <w:color w:val="000000"/>
          <w:kern w:val="0"/>
          <w:sz w:val="24"/>
        </w:rPr>
        <w:t xml:space="preserve"> </w:t>
      </w:r>
      <w:r>
        <w:rPr>
          <w:b/>
          <w:color w:val="000000"/>
          <w:sz w:val="24"/>
        </w:rPr>
        <w:t>其他不合格的情况</w:t>
      </w:r>
    </w:p>
    <w:p>
      <w:pPr>
        <w:rPr>
          <w:color w:val="000000"/>
        </w:rPr>
      </w:pPr>
    </w:p>
    <w:p>
      <w:pPr>
        <w:rPr>
          <w:color w:val="000000"/>
        </w:rPr>
      </w:pPr>
    </w:p>
    <w:p>
      <w:pPr>
        <w:jc w:val="right"/>
        <w:rPr>
          <w:bCs/>
          <w:color w:val="000000"/>
          <w:sz w:val="24"/>
        </w:rPr>
      </w:pPr>
      <w:r>
        <w:rPr>
          <w:bCs/>
          <w:color w:val="000000"/>
          <w:sz w:val="24"/>
        </w:rPr>
        <w:t>桂林理工大学化学与生物工程学院</w:t>
      </w:r>
    </w:p>
    <w:p>
      <w:pPr>
        <w:ind w:right="480"/>
        <w:jc w:val="right"/>
        <w:rPr>
          <w:bCs/>
          <w:color w:val="000000"/>
          <w:sz w:val="24"/>
        </w:rPr>
      </w:pPr>
      <w:r>
        <w:rPr>
          <w:bCs/>
          <w:color w:val="000000"/>
          <w:sz w:val="24"/>
        </w:rPr>
        <w:t>2024年3月</w:t>
      </w:r>
      <w:r>
        <w:rPr>
          <w:rFonts w:hint="eastAsia"/>
          <w:bCs/>
          <w:color w:val="000000"/>
          <w:sz w:val="24"/>
        </w:rPr>
        <w:t>2</w:t>
      </w:r>
      <w:r>
        <w:rPr>
          <w:bCs/>
          <w:color w:val="000000"/>
          <w:sz w:val="24"/>
        </w:rPr>
        <w:t>7日</w:t>
      </w:r>
    </w:p>
    <w:p>
      <w:pPr>
        <w:rPr>
          <w:color w:val="000000"/>
        </w:rPr>
      </w:pPr>
    </w:p>
    <w:sectPr>
      <w:headerReference r:id="rId3" w:type="default"/>
      <w:footerReference r:id="rId4" w:type="even"/>
      <w:type w:val="continuous"/>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Arial Unicode MS">
    <w:altName w:val="宋体"/>
    <w:panose1 w:val="020B0604020202020204"/>
    <w:charset w:val="86"/>
    <w:family w:val="swiss"/>
    <w:pitch w:val="default"/>
    <w:sig w:usb0="00000000" w:usb1="00000000" w:usb2="0000003F" w:usb3="00000000" w:csb0="003F01FF" w:csb1="00000000"/>
  </w:font>
  <w:font w:name="仿宋_GB2312">
    <w:panose1 w:val="02010609030101010101"/>
    <w:charset w:val="86"/>
    <w:family w:val="modern"/>
    <w:pitch w:val="default"/>
    <w:sig w:usb0="00000001" w:usb1="080E0000" w:usb2="00000000" w:usb3="00000000" w:csb0="00040000" w:csb1="00000000"/>
  </w:font>
  <w:font w:name="Cambria Math">
    <w:altName w:val="Segoe Print"/>
    <w:panose1 w:val="02040503050406030204"/>
    <w:charset w:val="00"/>
    <w:family w:val="roman"/>
    <w:pitch w:val="default"/>
    <w:sig w:usb0="00000000" w:usb1="00000000" w:usb2="02000000" w:usb3="00000000" w:csb0="200001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fldChar w:fldCharType="begin"/>
    </w:r>
    <w:r>
      <w:rPr>
        <w:rStyle w:val="8"/>
      </w:rPr>
      <w:instrText xml:space="preserve">PAGE  </w:instrText>
    </w:r>
    <w: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EE21AB"/>
    <w:multiLevelType w:val="singleLevel"/>
    <w:tmpl w:val="3BEE21A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UwYTQ2MWQyZjkwZmJhYjI1ZDVhYTVhZTE4MDgyZWQifQ=="/>
  </w:docVars>
  <w:rsids>
    <w:rsidRoot w:val="004C1225"/>
    <w:rsid w:val="000754C7"/>
    <w:rsid w:val="000926A0"/>
    <w:rsid w:val="000942B7"/>
    <w:rsid w:val="000B3DF5"/>
    <w:rsid w:val="000E12CB"/>
    <w:rsid w:val="00114CAB"/>
    <w:rsid w:val="001206B0"/>
    <w:rsid w:val="00145E18"/>
    <w:rsid w:val="00154B60"/>
    <w:rsid w:val="00192498"/>
    <w:rsid w:val="00193B78"/>
    <w:rsid w:val="001B709A"/>
    <w:rsid w:val="001C12AF"/>
    <w:rsid w:val="00227149"/>
    <w:rsid w:val="002323FD"/>
    <w:rsid w:val="00236DDB"/>
    <w:rsid w:val="002735A5"/>
    <w:rsid w:val="002D14BF"/>
    <w:rsid w:val="002D515D"/>
    <w:rsid w:val="0030350D"/>
    <w:rsid w:val="00365675"/>
    <w:rsid w:val="00372A47"/>
    <w:rsid w:val="00401D20"/>
    <w:rsid w:val="00416EDB"/>
    <w:rsid w:val="004425A4"/>
    <w:rsid w:val="00491C02"/>
    <w:rsid w:val="004C1225"/>
    <w:rsid w:val="004C44C1"/>
    <w:rsid w:val="004D55FD"/>
    <w:rsid w:val="00543285"/>
    <w:rsid w:val="00556D7C"/>
    <w:rsid w:val="00567C09"/>
    <w:rsid w:val="00592B43"/>
    <w:rsid w:val="005B41AD"/>
    <w:rsid w:val="005C2724"/>
    <w:rsid w:val="00614A4B"/>
    <w:rsid w:val="00615A22"/>
    <w:rsid w:val="0062594E"/>
    <w:rsid w:val="006F6F5A"/>
    <w:rsid w:val="007929F9"/>
    <w:rsid w:val="007A0F09"/>
    <w:rsid w:val="007E3A4D"/>
    <w:rsid w:val="0081311F"/>
    <w:rsid w:val="008160BD"/>
    <w:rsid w:val="00832A12"/>
    <w:rsid w:val="00852D49"/>
    <w:rsid w:val="00864851"/>
    <w:rsid w:val="00894A5F"/>
    <w:rsid w:val="008B01C7"/>
    <w:rsid w:val="008C3022"/>
    <w:rsid w:val="00904975"/>
    <w:rsid w:val="00927CC9"/>
    <w:rsid w:val="00940085"/>
    <w:rsid w:val="009A02ED"/>
    <w:rsid w:val="009A3671"/>
    <w:rsid w:val="009C4088"/>
    <w:rsid w:val="009C5C34"/>
    <w:rsid w:val="009D23FD"/>
    <w:rsid w:val="009E047C"/>
    <w:rsid w:val="009F3F19"/>
    <w:rsid w:val="00A07A27"/>
    <w:rsid w:val="00A27217"/>
    <w:rsid w:val="00A4171E"/>
    <w:rsid w:val="00A5520B"/>
    <w:rsid w:val="00AA461C"/>
    <w:rsid w:val="00AB22DD"/>
    <w:rsid w:val="00B176D4"/>
    <w:rsid w:val="00B826D8"/>
    <w:rsid w:val="00B87DA9"/>
    <w:rsid w:val="00BB5A3C"/>
    <w:rsid w:val="00BC1078"/>
    <w:rsid w:val="00C12C37"/>
    <w:rsid w:val="00C243A7"/>
    <w:rsid w:val="00C43216"/>
    <w:rsid w:val="00C43598"/>
    <w:rsid w:val="00C63FA4"/>
    <w:rsid w:val="00C76F38"/>
    <w:rsid w:val="00CA0EDE"/>
    <w:rsid w:val="00CD65CD"/>
    <w:rsid w:val="00CE7502"/>
    <w:rsid w:val="00D32503"/>
    <w:rsid w:val="00D81534"/>
    <w:rsid w:val="00D81E7F"/>
    <w:rsid w:val="00DB7273"/>
    <w:rsid w:val="00DC6D13"/>
    <w:rsid w:val="00DC70D8"/>
    <w:rsid w:val="00DD7CD1"/>
    <w:rsid w:val="00DE4288"/>
    <w:rsid w:val="00E1243C"/>
    <w:rsid w:val="00E14C47"/>
    <w:rsid w:val="00ED0AD7"/>
    <w:rsid w:val="00ED7241"/>
    <w:rsid w:val="00F1421D"/>
    <w:rsid w:val="00F3644A"/>
    <w:rsid w:val="00F553D4"/>
    <w:rsid w:val="00FA2C5A"/>
    <w:rsid w:val="00FA342C"/>
    <w:rsid w:val="02E1197F"/>
    <w:rsid w:val="0358194F"/>
    <w:rsid w:val="070F38AC"/>
    <w:rsid w:val="10A73E78"/>
    <w:rsid w:val="10D27002"/>
    <w:rsid w:val="12055528"/>
    <w:rsid w:val="16454F35"/>
    <w:rsid w:val="16464D2F"/>
    <w:rsid w:val="1E941E03"/>
    <w:rsid w:val="21A507BA"/>
    <w:rsid w:val="21E93961"/>
    <w:rsid w:val="222B1CEE"/>
    <w:rsid w:val="2423720D"/>
    <w:rsid w:val="24BC6499"/>
    <w:rsid w:val="262B0B7B"/>
    <w:rsid w:val="2BAC0B0B"/>
    <w:rsid w:val="2C957C11"/>
    <w:rsid w:val="2D2A272B"/>
    <w:rsid w:val="31510E47"/>
    <w:rsid w:val="31717F2A"/>
    <w:rsid w:val="3C560F4C"/>
    <w:rsid w:val="43DD74E1"/>
    <w:rsid w:val="448A240B"/>
    <w:rsid w:val="44BF6C07"/>
    <w:rsid w:val="46BB5C40"/>
    <w:rsid w:val="4A040C78"/>
    <w:rsid w:val="4A3B526E"/>
    <w:rsid w:val="4E786D40"/>
    <w:rsid w:val="53AC3B82"/>
    <w:rsid w:val="53BC1A28"/>
    <w:rsid w:val="563D19B1"/>
    <w:rsid w:val="58B62143"/>
    <w:rsid w:val="63B50A63"/>
    <w:rsid w:val="63C91773"/>
    <w:rsid w:val="64796354"/>
    <w:rsid w:val="659D63F2"/>
    <w:rsid w:val="69526512"/>
    <w:rsid w:val="6A4B3234"/>
    <w:rsid w:val="6BB81862"/>
    <w:rsid w:val="6C4D3C4C"/>
    <w:rsid w:val="6DA07494"/>
    <w:rsid w:val="6E4218A9"/>
    <w:rsid w:val="7ABA5462"/>
    <w:rsid w:val="7B0B142B"/>
    <w:rsid w:val="7E1605B1"/>
    <w:rsid w:val="7E310E83"/>
    <w:rsid w:val="7F5671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autoRedefine/>
    <w:unhideWhenUsed/>
    <w:qFormat/>
    <w:uiPriority w:val="0"/>
    <w:rPr>
      <w:sz w:val="18"/>
      <w:szCs w:val="18"/>
    </w:rPr>
  </w:style>
  <w:style w:type="paragraph" w:styleId="3">
    <w:name w:val="footer"/>
    <w:basedOn w:val="1"/>
    <w:autoRedefine/>
    <w:qFormat/>
    <w:uiPriority w:val="0"/>
    <w:pPr>
      <w:tabs>
        <w:tab w:val="center" w:pos="4153"/>
        <w:tab w:val="right" w:pos="8306"/>
      </w:tabs>
      <w:snapToGrid w:val="0"/>
      <w:jc w:val="left"/>
    </w:pPr>
    <w:rPr>
      <w:sz w:val="18"/>
      <w:szCs w:val="18"/>
    </w:rPr>
  </w:style>
  <w:style w:type="paragraph" w:styleId="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widowControl/>
      <w:spacing w:before="100" w:beforeAutospacing="1" w:after="100" w:afterAutospacing="1"/>
      <w:jc w:val="left"/>
    </w:pPr>
    <w:rPr>
      <w:rFonts w:ascii="Arial Unicode MS" w:hAnsi="Arial Unicode MS" w:eastAsia="Arial Unicode MS" w:cs="Arial Unicode MS"/>
      <w:kern w:val="0"/>
      <w:sz w:val="24"/>
    </w:rPr>
  </w:style>
  <w:style w:type="character" w:styleId="8">
    <w:name w:val="page number"/>
    <w:basedOn w:val="7"/>
    <w:autoRedefine/>
    <w:qFormat/>
    <w:uiPriority w:val="0"/>
  </w:style>
  <w:style w:type="character" w:customStyle="1" w:styleId="9">
    <w:name w:val="批注框文本 字符"/>
    <w:basedOn w:val="7"/>
    <w:link w:val="2"/>
    <w:autoRedefine/>
    <w:semiHidden/>
    <w:qFormat/>
    <w:uiPriority w:val="0"/>
    <w:rPr>
      <w:kern w:val="2"/>
      <w:sz w:val="18"/>
      <w:szCs w:val="18"/>
    </w:rPr>
  </w:style>
  <w:style w:type="character" w:customStyle="1" w:styleId="10">
    <w:name w:val="yxNone"/>
    <w:autoRedefine/>
    <w:qFormat/>
    <w:uiPriority w:val="0"/>
  </w:style>
  <w:style w:type="paragraph" w:styleId="11">
    <w:name w:val="List Paragraph"/>
    <w:basedOn w:val="1"/>
    <w:autoRedefine/>
    <w:qFormat/>
    <w:uiPriority w:val="34"/>
    <w:pPr>
      <w:ind w:firstLine="420" w:firstLineChars="200"/>
    </w:pPr>
  </w:style>
  <w:style w:type="paragraph" w:customStyle="1" w:styleId="12">
    <w:name w:val="Revision"/>
    <w:autoRedefine/>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277</Words>
  <Characters>1579</Characters>
  <Lines>13</Lines>
  <Paragraphs>3</Paragraphs>
  <TotalTime>18</TotalTime>
  <ScaleCrop>false</ScaleCrop>
  <LinksUpToDate>false</LinksUpToDate>
  <CharactersWithSpaces>1853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2023-04-02T15:18:00Z</dcterms:created>
  <dc:creator>john</dc:creator>
  <cp:lastModifiedBy>Administrator</cp:lastModifiedBy>
  <cp:lastPrinted>2019-03-21T12:30:00Z</cp:lastPrinted>
  <dcterms:modified xsi:type="dcterms:W3CDTF">2024-03-28T07:11:07Z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FBA744E2411A4C76A5CEC8D3F6EB21AC_13</vt:lpwstr>
  </property>
</Properties>
</file>